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E36B" w14:textId="77777777" w:rsidR="00FE7EF1" w:rsidRPr="0042063F" w:rsidRDefault="0089083B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42063F">
        <w:rPr>
          <w:rFonts w:ascii="Arial" w:hAnsi="Arial"/>
          <w:b/>
          <w:bCs/>
          <w:sz w:val="24"/>
          <w:szCs w:val="24"/>
          <w:lang w:val="pt-BR"/>
        </w:rPr>
        <w:t>À PERÍCIA PREVIDENCIÁRIA ÚNICA</w:t>
      </w:r>
    </w:p>
    <w:p w14:paraId="756C37C4" w14:textId="77777777" w:rsidR="00FE7EF1" w:rsidRPr="0042063F" w:rsidRDefault="0089083B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  <w:lang w:val="pt-BR"/>
        </w:rPr>
      </w:pPr>
      <w:r w:rsidRPr="0042063F">
        <w:rPr>
          <w:rFonts w:ascii="Arial" w:hAnsi="Arial"/>
          <w:b/>
          <w:bCs/>
          <w:sz w:val="24"/>
          <w:szCs w:val="24"/>
          <w:lang w:val="pt-BR"/>
        </w:rPr>
        <w:t>DIRETORIA DE BENEFÍCIOS DO IPE-PREV</w:t>
      </w:r>
    </w:p>
    <w:p w14:paraId="53A4475F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052FA60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A5C202C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B4B1604" w14:textId="126D6273" w:rsidR="00FE7EF1" w:rsidRPr="0042063F" w:rsidRDefault="0089083B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42063F">
        <w:rPr>
          <w:rFonts w:ascii="Arial" w:hAnsi="Arial"/>
          <w:b/>
          <w:bCs/>
          <w:sz w:val="24"/>
          <w:szCs w:val="24"/>
          <w:lang w:val="pt-BR"/>
        </w:rPr>
        <w:t>Referência</w:t>
      </w:r>
      <w:r w:rsidRPr="0042063F">
        <w:rPr>
          <w:rFonts w:ascii="Arial" w:hAnsi="Arial"/>
          <w:sz w:val="24"/>
          <w:szCs w:val="24"/>
          <w:lang w:val="pt-BR"/>
        </w:rPr>
        <w:t xml:space="preserve">: Processo Administrativo n.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</w:p>
    <w:p w14:paraId="3A989615" w14:textId="77777777" w:rsidR="00FE7EF1" w:rsidRPr="0042063F" w:rsidRDefault="0089083B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7C2B84">
        <w:rPr>
          <w:rFonts w:ascii="Arial" w:hAnsi="Arial"/>
          <w:b/>
          <w:bCs/>
          <w:sz w:val="24"/>
          <w:szCs w:val="24"/>
          <w:lang w:val="pt-BR"/>
        </w:rPr>
        <w:t>Objeto</w:t>
      </w:r>
      <w:r w:rsidRPr="0042063F">
        <w:rPr>
          <w:rFonts w:ascii="Arial" w:hAnsi="Arial"/>
          <w:sz w:val="24"/>
          <w:szCs w:val="24"/>
          <w:lang w:val="pt-BR"/>
        </w:rPr>
        <w:t>: Recurso</w:t>
      </w:r>
    </w:p>
    <w:p w14:paraId="0AC27C93" w14:textId="77777777" w:rsidR="00FE7EF1" w:rsidRPr="0042063F" w:rsidRDefault="00FE7EF1">
      <w:pPr>
        <w:pStyle w:val="Corpo"/>
        <w:jc w:val="both"/>
        <w:rPr>
          <w:rFonts w:ascii="Arial" w:eastAsia="Arial" w:hAnsi="Arial" w:cs="Arial"/>
          <w:sz w:val="24"/>
          <w:szCs w:val="24"/>
          <w:lang w:val="pt-BR"/>
        </w:rPr>
      </w:pPr>
    </w:p>
    <w:p w14:paraId="6231B7D1" w14:textId="516D0BCA" w:rsidR="00FE7EF1" w:rsidRPr="0042063F" w:rsidRDefault="002E5380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89083B" w:rsidRPr="0042063F">
        <w:rPr>
          <w:rFonts w:ascii="Arial" w:hAnsi="Arial"/>
          <w:sz w:val="24"/>
          <w:szCs w:val="24"/>
          <w:lang w:val="pt-BR"/>
        </w:rPr>
        <w:t>, servidor</w:t>
      </w:r>
      <w:r>
        <w:rPr>
          <w:rFonts w:ascii="Arial" w:hAnsi="Arial"/>
          <w:sz w:val="24"/>
          <w:szCs w:val="24"/>
          <w:lang w:val="pt-BR"/>
        </w:rPr>
        <w:t>/a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 públic</w:t>
      </w:r>
      <w:r>
        <w:rPr>
          <w:rFonts w:ascii="Arial" w:hAnsi="Arial"/>
          <w:sz w:val="24"/>
          <w:szCs w:val="24"/>
          <w:lang w:val="pt-BR"/>
        </w:rPr>
        <w:t>o/a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 estadual, ocupante do cargo de </w:t>
      </w:r>
      <w:r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, identidade funcional nº </w:t>
      </w:r>
      <w:r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, </w:t>
      </w:r>
      <w:r w:rsidR="00917A0D">
        <w:rPr>
          <w:rFonts w:ascii="Arial" w:hAnsi="Arial"/>
          <w:sz w:val="24"/>
          <w:szCs w:val="24"/>
          <w:lang w:val="pt-BR"/>
        </w:rPr>
        <w:t>vinculado</w:t>
      </w:r>
      <w:r w:rsidR="00CC49F3">
        <w:rPr>
          <w:rFonts w:ascii="Arial" w:hAnsi="Arial"/>
          <w:sz w:val="24"/>
          <w:szCs w:val="24"/>
          <w:lang w:val="pt-BR"/>
        </w:rPr>
        <w:t>/a</w:t>
      </w:r>
      <w:r w:rsidR="00917A0D">
        <w:rPr>
          <w:rFonts w:ascii="Arial" w:hAnsi="Arial"/>
          <w:sz w:val="24"/>
          <w:szCs w:val="24"/>
          <w:lang w:val="pt-BR"/>
        </w:rPr>
        <w:t xml:space="preserve"> à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 Secretaria Estadual de Saúde, vem, perante Vossa Senhoria, fulcro no art. 15, §1º da Instrução Normativa n. 05/2023 do IPE-PREV, interpor </w:t>
      </w:r>
      <w:r w:rsidR="0089083B" w:rsidRPr="0042063F">
        <w:rPr>
          <w:rFonts w:ascii="Arial" w:hAnsi="Arial"/>
          <w:b/>
          <w:bCs/>
          <w:sz w:val="24"/>
          <w:szCs w:val="24"/>
          <w:lang w:val="pt-BR"/>
        </w:rPr>
        <w:t>RECURSO</w:t>
      </w:r>
      <w:r w:rsidR="0089083B" w:rsidRPr="0042063F">
        <w:rPr>
          <w:rFonts w:ascii="Arial" w:hAnsi="Arial"/>
          <w:sz w:val="24"/>
          <w:szCs w:val="24"/>
          <w:lang w:val="pt-BR"/>
        </w:rPr>
        <w:t xml:space="preserve">, em face da decisão de indeferimento proferida pelo setor de Perícia Previdenciária Única, pelas razões </w:t>
      </w:r>
      <w:r w:rsidR="001962B8" w:rsidRPr="0042063F">
        <w:rPr>
          <w:rFonts w:ascii="Arial" w:hAnsi="Arial"/>
          <w:sz w:val="24"/>
          <w:szCs w:val="24"/>
          <w:lang w:val="pt-BR"/>
        </w:rPr>
        <w:t xml:space="preserve">que </w:t>
      </w:r>
      <w:r w:rsidR="0089083B" w:rsidRPr="0042063F">
        <w:rPr>
          <w:rFonts w:ascii="Arial" w:hAnsi="Arial"/>
          <w:sz w:val="24"/>
          <w:szCs w:val="24"/>
          <w:lang w:val="pt-BR"/>
        </w:rPr>
        <w:t>seguem:</w:t>
      </w:r>
    </w:p>
    <w:p w14:paraId="1525A215" w14:textId="77777777" w:rsidR="009935A6" w:rsidRDefault="009935A6" w:rsidP="00F85FDA">
      <w:pPr>
        <w:pStyle w:val="Corpo"/>
        <w:spacing w:after="0" w:line="276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041AA1AB" w14:textId="77777777" w:rsidR="00F85FDA" w:rsidRDefault="00F85FDA" w:rsidP="00F85FDA">
      <w:pPr>
        <w:pStyle w:val="Corpo"/>
        <w:spacing w:after="0" w:line="276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2A94227C" w14:textId="289689D8" w:rsidR="009B5DCF" w:rsidRPr="009B5DCF" w:rsidRDefault="009B5DCF" w:rsidP="00BE5D4C">
      <w:pPr>
        <w:pStyle w:val="Corpo"/>
        <w:spacing w:after="0"/>
        <w:jc w:val="both"/>
        <w:rPr>
          <w:rFonts w:ascii="Arial" w:eastAsia="Arial" w:hAnsi="Arial" w:cs="Arial"/>
          <w:i/>
          <w:iCs/>
          <w:highlight w:val="yellow"/>
          <w:lang w:val="pt-BR"/>
        </w:rPr>
      </w:pPr>
      <w:r w:rsidRPr="009B5DCF">
        <w:rPr>
          <w:rFonts w:ascii="Arial" w:eastAsia="Arial" w:hAnsi="Arial" w:cs="Arial"/>
          <w:i/>
          <w:iCs/>
          <w:highlight w:val="yellow"/>
          <w:lang w:val="pt-BR"/>
        </w:rPr>
        <w:t>(tratar das atribuições/atividades desenvolvidas e os riscos aos quais est</w:t>
      </w:r>
      <w:r w:rsidR="00BE5D4C">
        <w:rPr>
          <w:rFonts w:ascii="Arial" w:eastAsia="Arial" w:hAnsi="Arial" w:cs="Arial"/>
          <w:i/>
          <w:iCs/>
          <w:highlight w:val="yellow"/>
          <w:lang w:val="pt-BR"/>
        </w:rPr>
        <w:t>ava</w:t>
      </w:r>
      <w:r w:rsidRPr="009B5DCF">
        <w:rPr>
          <w:rFonts w:ascii="Arial" w:eastAsia="Arial" w:hAnsi="Arial" w:cs="Arial"/>
          <w:i/>
          <w:iCs/>
          <w:highlight w:val="yellow"/>
          <w:lang w:val="pt-BR"/>
        </w:rPr>
        <w:t xml:space="preserve"> expost</w:t>
      </w:r>
      <w:r w:rsidR="00E13CAB">
        <w:rPr>
          <w:rFonts w:ascii="Arial" w:eastAsia="Arial" w:hAnsi="Arial" w:cs="Arial"/>
          <w:i/>
          <w:iCs/>
          <w:highlight w:val="yellow"/>
          <w:lang w:val="pt-BR"/>
        </w:rPr>
        <w:t>o/a</w:t>
      </w:r>
      <w:r w:rsidRPr="009B5DCF">
        <w:rPr>
          <w:rFonts w:ascii="Arial" w:eastAsia="Arial" w:hAnsi="Arial" w:cs="Arial"/>
          <w:i/>
          <w:iCs/>
          <w:highlight w:val="yellow"/>
          <w:lang w:val="pt-BR"/>
        </w:rPr>
        <w:t>)</w:t>
      </w:r>
    </w:p>
    <w:p w14:paraId="7EE9085F" w14:textId="2C11D7B0" w:rsidR="009847C1" w:rsidRDefault="009847C1" w:rsidP="00F85FDA">
      <w:pPr>
        <w:pStyle w:val="Corpo"/>
        <w:spacing w:after="0"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14:paraId="4EE9FBFE" w14:textId="77777777" w:rsidR="00F85FDA" w:rsidRDefault="00F85FDA" w:rsidP="00F85FDA">
      <w:pPr>
        <w:pStyle w:val="Corpo"/>
        <w:spacing w:after="0" w:line="360" w:lineRule="auto"/>
        <w:jc w:val="both"/>
        <w:rPr>
          <w:rFonts w:ascii="Arial" w:hAnsi="Arial"/>
          <w:sz w:val="24"/>
          <w:szCs w:val="24"/>
          <w:lang w:val="pt-BR"/>
        </w:rPr>
      </w:pPr>
    </w:p>
    <w:p w14:paraId="4EEE633D" w14:textId="35950235" w:rsidR="00C86FED" w:rsidRDefault="004351E5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>
        <w:rPr>
          <w:rFonts w:ascii="Arial" w:hAnsi="Arial"/>
          <w:sz w:val="24"/>
          <w:szCs w:val="24"/>
          <w:lang w:val="pt-BR"/>
        </w:rPr>
        <w:t>Sendo assim,</w:t>
      </w:r>
      <w:r w:rsidR="0029443D">
        <w:rPr>
          <w:rFonts w:ascii="Arial" w:hAnsi="Arial"/>
          <w:sz w:val="24"/>
          <w:szCs w:val="24"/>
          <w:lang w:val="pt-BR"/>
        </w:rPr>
        <w:t xml:space="preserve"> ao contrário do que afirma a decisão de indeferimento, ora recorrida,</w:t>
      </w:r>
      <w:r w:rsidR="00C86FED" w:rsidRPr="00C86FED">
        <w:rPr>
          <w:rFonts w:ascii="Arial" w:hAnsi="Arial"/>
          <w:sz w:val="24"/>
          <w:szCs w:val="24"/>
          <w:lang w:val="pt-BR"/>
        </w:rPr>
        <w:t xml:space="preserve"> havendo contato com agentes biológicos que possam resultar na contração de doenças pelo individuo, não é necessário que a exposição a esses agentes aconteça durante toda a jornada de trabalho </w:t>
      </w:r>
      <w:r w:rsidR="00C86FED" w:rsidRPr="00C86FED">
        <w:rPr>
          <w:rFonts w:ascii="Arial" w:hAnsi="Arial"/>
          <w:i/>
          <w:iCs/>
          <w:sz w:val="24"/>
          <w:szCs w:val="24"/>
          <w:lang w:val="pt-BR"/>
        </w:rPr>
        <w:t>(EIAC n. 1999.04.01.021460-0, 3ª Seção, Rel. Des. Federal Celso Kipper, DJ de 05-10-2005</w:t>
      </w:r>
      <w:r w:rsidR="00C86FED" w:rsidRPr="00C86FED">
        <w:rPr>
          <w:rFonts w:ascii="Arial" w:hAnsi="Arial"/>
          <w:sz w:val="24"/>
          <w:szCs w:val="24"/>
          <w:lang w:val="pt-BR"/>
        </w:rPr>
        <w:t>).</w:t>
      </w:r>
    </w:p>
    <w:p w14:paraId="74AFF9AD" w14:textId="77777777" w:rsidR="00F85FDA" w:rsidRPr="00C86FED" w:rsidRDefault="00F85FDA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29923E94" w14:textId="6C2BAA99" w:rsidR="00C86FED" w:rsidRPr="00C86FED" w:rsidRDefault="00C86FED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 w:rsidRPr="00C86FED">
        <w:rPr>
          <w:rFonts w:ascii="Arial" w:hAnsi="Arial"/>
          <w:sz w:val="24"/>
          <w:szCs w:val="24"/>
          <w:lang w:val="pt-BR"/>
        </w:rPr>
        <w:t xml:space="preserve">A exposição contínua ao agente </w:t>
      </w:r>
      <w:r w:rsidRPr="0042063F">
        <w:rPr>
          <w:rFonts w:ascii="Arial" w:hAnsi="Arial"/>
          <w:b/>
          <w:bCs/>
          <w:sz w:val="24"/>
          <w:szCs w:val="24"/>
          <w:lang w:val="pt-BR"/>
        </w:rPr>
        <w:t>não é pressuposta</w:t>
      </w:r>
      <w:r w:rsidRPr="00C86FED">
        <w:rPr>
          <w:rFonts w:ascii="Arial" w:hAnsi="Arial"/>
          <w:sz w:val="24"/>
          <w:szCs w:val="24"/>
          <w:lang w:val="pt-BR"/>
        </w:rPr>
        <w:t xml:space="preserve"> no art. 57, § 3º da Lei 8.213/1991, que dispõe da habitualidade e permanência do tempo de </w:t>
      </w:r>
      <w:r w:rsidR="0042063F">
        <w:rPr>
          <w:rFonts w:ascii="Arial" w:hAnsi="Arial"/>
          <w:sz w:val="24"/>
          <w:szCs w:val="24"/>
          <w:lang w:val="pt-BR"/>
        </w:rPr>
        <w:t>t</w:t>
      </w:r>
      <w:r w:rsidRPr="00C86FED">
        <w:rPr>
          <w:rFonts w:ascii="Arial" w:hAnsi="Arial"/>
          <w:sz w:val="24"/>
          <w:szCs w:val="24"/>
          <w:lang w:val="pt-BR"/>
        </w:rPr>
        <w:t>rabalho em condições especiais prejudiciais à saúde ou à integridade física.</w:t>
      </w:r>
    </w:p>
    <w:p w14:paraId="0D8053FF" w14:textId="77777777" w:rsidR="00F85FDA" w:rsidRDefault="00F85FDA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75DBC8CA" w14:textId="6C9E6DB7" w:rsidR="00C86FED" w:rsidRDefault="00C86FED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  <w:r w:rsidRPr="00C86FED">
        <w:rPr>
          <w:rFonts w:ascii="Arial" w:hAnsi="Arial"/>
          <w:sz w:val="24"/>
          <w:szCs w:val="24"/>
          <w:lang w:val="pt-BR"/>
        </w:rPr>
        <w:t xml:space="preserve">Logo, segundo a jurisprudência dominante do Tribunal Regional Federal da 4ª Região, não se pode interpretar como ocasional, eventual ou intermitente a </w:t>
      </w:r>
      <w:r w:rsidRPr="00D81EFD">
        <w:rPr>
          <w:rFonts w:ascii="Arial" w:hAnsi="Arial"/>
          <w:b/>
          <w:bCs/>
          <w:sz w:val="24"/>
          <w:szCs w:val="24"/>
          <w:lang w:val="pt-BR"/>
        </w:rPr>
        <w:t>exposição ínsita ao desenvolvimento das atividades</w:t>
      </w:r>
      <w:r w:rsidRPr="00C86FED">
        <w:rPr>
          <w:rFonts w:ascii="Arial" w:hAnsi="Arial"/>
          <w:sz w:val="24"/>
          <w:szCs w:val="24"/>
          <w:lang w:val="pt-BR"/>
        </w:rPr>
        <w:t xml:space="preserve"> desenvolvidas pelo trabalhador, integrada à sua rotina de </w:t>
      </w:r>
      <w:r w:rsidR="00D81EFD">
        <w:rPr>
          <w:rFonts w:ascii="Arial" w:hAnsi="Arial"/>
          <w:sz w:val="24"/>
          <w:szCs w:val="24"/>
          <w:lang w:val="pt-BR"/>
        </w:rPr>
        <w:t>t</w:t>
      </w:r>
      <w:r w:rsidRPr="00C86FED">
        <w:rPr>
          <w:rFonts w:ascii="Arial" w:hAnsi="Arial"/>
          <w:sz w:val="24"/>
          <w:szCs w:val="24"/>
          <w:lang w:val="pt-BR"/>
        </w:rPr>
        <w:t>rabalho (</w:t>
      </w:r>
      <w:r w:rsidRPr="00C86FED">
        <w:rPr>
          <w:rFonts w:ascii="Arial" w:hAnsi="Arial"/>
          <w:i/>
          <w:iCs/>
          <w:sz w:val="24"/>
          <w:szCs w:val="24"/>
          <w:lang w:val="pt-BR"/>
        </w:rPr>
        <w:t xml:space="preserve">TRF4, AC </w:t>
      </w:r>
      <w:r w:rsidRPr="00C86FED">
        <w:rPr>
          <w:rFonts w:ascii="Arial" w:hAnsi="Arial"/>
          <w:i/>
          <w:iCs/>
          <w:sz w:val="24"/>
          <w:szCs w:val="24"/>
          <w:lang w:val="pt-BR"/>
        </w:rPr>
        <w:lastRenderedPageBreak/>
        <w:t>5002563-08.2016.4.04.7101, Sexta Turma, Rel Taís Schilling Ferraz, DJe 23/07/2021</w:t>
      </w:r>
      <w:r w:rsidRPr="00C86FED">
        <w:rPr>
          <w:rFonts w:ascii="Arial" w:hAnsi="Arial"/>
          <w:sz w:val="24"/>
          <w:szCs w:val="24"/>
          <w:lang w:val="pt-BR"/>
        </w:rPr>
        <w:t>).</w:t>
      </w:r>
    </w:p>
    <w:p w14:paraId="0A1FA34F" w14:textId="77777777" w:rsidR="00F85FDA" w:rsidRDefault="00F85FDA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1B7FF786" w14:textId="5253B4F5" w:rsidR="005E7B78" w:rsidRPr="005E7B78" w:rsidRDefault="00F34E90" w:rsidP="005E7B78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Nesse sentido, a</w:t>
      </w:r>
      <w:r w:rsidRPr="005E7B78">
        <w:rPr>
          <w:rFonts w:ascii="Arial" w:hAnsi="Arial"/>
          <w:sz w:val="24"/>
          <w:szCs w:val="24"/>
          <w:lang w:val="pt-BR"/>
        </w:rPr>
        <w:t xml:space="preserve"> jurisprudência entende que</w:t>
      </w:r>
      <w:r>
        <w:rPr>
          <w:rFonts w:ascii="Arial" w:hAnsi="Arial"/>
          <w:sz w:val="24"/>
          <w:szCs w:val="24"/>
          <w:lang w:val="pt-BR"/>
        </w:rPr>
        <w:t>,</w:t>
      </w:r>
      <w:r w:rsidRPr="005E7B78">
        <w:rPr>
          <w:rFonts w:ascii="Arial" w:hAnsi="Arial"/>
          <w:sz w:val="24"/>
          <w:szCs w:val="24"/>
          <w:lang w:val="pt-BR"/>
        </w:rPr>
        <w:t xml:space="preserve"> no que se refere </w:t>
      </w:r>
      <w:r w:rsidRPr="005E7B78">
        <w:rPr>
          <w:rFonts w:ascii="Arial" w:hAnsi="Arial"/>
          <w:sz w:val="24"/>
          <w:szCs w:val="24"/>
        </w:rPr>
        <w:t>à habitualidade e permanência da exposição aos</w:t>
      </w:r>
      <w:r w:rsidRPr="005E7B78">
        <w:rPr>
          <w:rFonts w:ascii="Arial" w:hAnsi="Arial"/>
          <w:b/>
          <w:bCs/>
          <w:sz w:val="24"/>
          <w:szCs w:val="24"/>
        </w:rPr>
        <w:t> </w:t>
      </w:r>
      <w:r w:rsidRPr="005E7B78">
        <w:rPr>
          <w:rFonts w:ascii="Arial" w:hAnsi="Arial"/>
          <w:sz w:val="24"/>
          <w:szCs w:val="24"/>
        </w:rPr>
        <w:t>agentes biológicos, o conceito de permanência é diverso daquele utilizado para a exposição a outros agentes nocivos</w:t>
      </w:r>
      <w:r>
        <w:rPr>
          <w:rFonts w:ascii="Arial" w:hAnsi="Arial"/>
          <w:sz w:val="24"/>
          <w:szCs w:val="24"/>
        </w:rPr>
        <w:t xml:space="preserve">, pois </w:t>
      </w:r>
      <w:r w:rsidRPr="005E7B78">
        <w:rPr>
          <w:rFonts w:ascii="Arial" w:hAnsi="Arial"/>
          <w:sz w:val="24"/>
          <w:szCs w:val="24"/>
        </w:rPr>
        <w:t xml:space="preserve">o que </w:t>
      </w:r>
      <w:r w:rsidRPr="00716471">
        <w:rPr>
          <w:rFonts w:ascii="Arial" w:hAnsi="Arial"/>
          <w:sz w:val="24"/>
          <w:szCs w:val="24"/>
        </w:rPr>
        <w:t>se</w:t>
      </w:r>
      <w:r w:rsidRPr="00716471">
        <w:rPr>
          <w:rFonts w:ascii="Arial" w:hAnsi="Arial"/>
          <w:b/>
          <w:bCs/>
          <w:sz w:val="24"/>
          <w:szCs w:val="24"/>
        </w:rPr>
        <w:t xml:space="preserve"> protege é o risco de exposição a tais agentes</w:t>
      </w:r>
      <w:r w:rsidRPr="005E7B7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e não </w:t>
      </w:r>
      <w:r w:rsidRPr="005E7B78">
        <w:rPr>
          <w:rFonts w:ascii="Arial" w:hAnsi="Arial"/>
          <w:sz w:val="24"/>
          <w:szCs w:val="24"/>
        </w:rPr>
        <w:t>o tempo de exposição (causador do eventual dano</w:t>
      </w:r>
      <w:r>
        <w:rPr>
          <w:rFonts w:ascii="Arial" w:hAnsi="Arial"/>
          <w:sz w:val="24"/>
          <w:szCs w:val="24"/>
        </w:rPr>
        <w:t>)</w:t>
      </w:r>
      <w:r w:rsidR="005E7B78" w:rsidRPr="005E7B78">
        <w:rPr>
          <w:rFonts w:ascii="Arial" w:hAnsi="Arial"/>
          <w:sz w:val="24"/>
          <w:szCs w:val="24"/>
        </w:rPr>
        <w:t>.</w:t>
      </w:r>
      <w:r w:rsidR="005E7B78">
        <w:rPr>
          <w:rFonts w:ascii="Arial" w:hAnsi="Arial"/>
          <w:sz w:val="24"/>
          <w:szCs w:val="24"/>
        </w:rPr>
        <w:t xml:space="preserve"> Vejamos:</w:t>
      </w:r>
    </w:p>
    <w:p w14:paraId="027C8EF7" w14:textId="77777777" w:rsidR="00F85FDA" w:rsidRDefault="00F85FDA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0AE0F872" w14:textId="77777777" w:rsidR="005E7B78" w:rsidRDefault="005E7B78" w:rsidP="00F85FDA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lang w:val="pt-BR"/>
        </w:rPr>
      </w:pPr>
      <w:r w:rsidRPr="005E7B78">
        <w:rPr>
          <w:rFonts w:ascii="Arial" w:hAnsi="Arial"/>
          <w:sz w:val="20"/>
          <w:szCs w:val="20"/>
          <w:lang w:val="pt-BR"/>
        </w:rPr>
        <w:t xml:space="preserve">PREVIDENCIÁRIO. APOSENTADORIA ESPECIAL. REQUISITOS. ATIVIDADE ESPECIAL. AGENTES BIOLÓGICOS. HABITUALIDADE E PERMANÊNCIA. USO E EFICÁCIA DE EPI. VIGÊNCIA DO DECRETO 4.882/2003. MICROORGANISMOS E PARASITAS INFECCIOSOS. ENQUADRAMENTO. SÚMULA 198 DO TFR. BENEFÍCIO POR INCAPACIDADE. TEMA 998 DO STJ. ART. 57, § 8º, DA LEI DE BENEFÍCIOS. CONSTITUCIONALIDADE RECONHECIDA. TEMA 709 DO STF. </w:t>
      </w:r>
    </w:p>
    <w:p w14:paraId="1AD0736B" w14:textId="202D74A7" w:rsidR="00F85FDA" w:rsidRPr="00D76F20" w:rsidRDefault="00F85FDA" w:rsidP="00F85FDA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highlight w:val="lightGray"/>
          <w:lang w:val="pt-BR"/>
        </w:rPr>
      </w:pPr>
      <w:r w:rsidRPr="00F85FDA">
        <w:rPr>
          <w:rFonts w:ascii="Arial" w:hAnsi="Arial"/>
          <w:sz w:val="20"/>
          <w:szCs w:val="20"/>
          <w:lang w:val="pt-BR"/>
        </w:rPr>
        <w:t xml:space="preserve">[...] </w:t>
      </w:r>
      <w:r w:rsidRPr="00D76F20">
        <w:rPr>
          <w:rFonts w:ascii="Arial" w:hAnsi="Arial"/>
          <w:sz w:val="20"/>
          <w:szCs w:val="20"/>
          <w:highlight w:val="lightGray"/>
          <w:lang w:val="pt-BR"/>
        </w:rPr>
        <w:t xml:space="preserve">a exposição a agentes biológicos decorrentes do contato com pacientes portadores de doenças infecto-contagiosas ou materiais infecto-contagiantes enseja o reconhecimento do tempo de serviço como especial. </w:t>
      </w:r>
    </w:p>
    <w:p w14:paraId="7C818B45" w14:textId="77777777" w:rsidR="00F85FDA" w:rsidRDefault="00F85FDA" w:rsidP="00F85FDA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lang w:val="pt-BR"/>
        </w:rPr>
      </w:pPr>
      <w:r w:rsidRPr="00D76F20">
        <w:rPr>
          <w:rFonts w:ascii="Arial" w:hAnsi="Arial"/>
          <w:sz w:val="20"/>
          <w:szCs w:val="20"/>
          <w:highlight w:val="lightGray"/>
          <w:lang w:val="pt-BR"/>
        </w:rPr>
        <w:t>4. A exposição de forma intermitente aos agentes biológicos não descaracteriza o risco de contágio, uma vez que o perigo existe tanto para aquele que está exposto de forma contínua como para aquele que, durante a jornada, ainda que não de forma permanente, tem contato com tais agentes.</w:t>
      </w:r>
      <w:r w:rsidRPr="00F85FDA">
        <w:rPr>
          <w:rFonts w:ascii="Arial" w:hAnsi="Arial"/>
          <w:sz w:val="20"/>
          <w:szCs w:val="20"/>
          <w:lang w:val="pt-BR"/>
        </w:rPr>
        <w:t xml:space="preserve"> </w:t>
      </w:r>
    </w:p>
    <w:p w14:paraId="264A69AD" w14:textId="143F717F" w:rsidR="00F85FDA" w:rsidRPr="00F85FDA" w:rsidRDefault="00F85FDA" w:rsidP="00F85FDA">
      <w:pPr>
        <w:pStyle w:val="Corpo"/>
        <w:spacing w:after="0" w:line="276" w:lineRule="auto"/>
        <w:ind w:left="2268"/>
        <w:jc w:val="both"/>
        <w:rPr>
          <w:rFonts w:ascii="Arial" w:hAnsi="Arial"/>
          <w:sz w:val="20"/>
          <w:szCs w:val="20"/>
          <w:lang w:val="pt-BR"/>
        </w:rPr>
      </w:pPr>
      <w:r w:rsidRPr="00F85FDA">
        <w:rPr>
          <w:rFonts w:ascii="Arial" w:hAnsi="Arial"/>
          <w:sz w:val="20"/>
          <w:szCs w:val="20"/>
          <w:lang w:val="pt-BR"/>
        </w:rPr>
        <w:t xml:space="preserve">5. A utilização de equipamentos de proteção individual (EPI) é irrelevante para o reconhecimento das condições especiais da atividade exercida no período anterior a 03-12-1998. </w:t>
      </w:r>
      <w:r w:rsidRPr="00D76F20">
        <w:rPr>
          <w:rFonts w:ascii="Arial" w:hAnsi="Arial"/>
          <w:sz w:val="20"/>
          <w:szCs w:val="20"/>
          <w:highlight w:val="lightGray"/>
          <w:lang w:val="pt-BR"/>
        </w:rPr>
        <w:t>Ademais, os EPI's não têm o condão de afastar ou prevenir o risco de contaminação pelos agentes biológicos (Item 3.1.5 do Manual da Aposentadoria Especial editado pelo INSS, 2017).</w:t>
      </w:r>
      <w:r w:rsidRPr="00F85FDA">
        <w:rPr>
          <w:rFonts w:ascii="Arial" w:hAnsi="Arial"/>
          <w:sz w:val="20"/>
          <w:szCs w:val="20"/>
          <w:lang w:val="pt-BR"/>
        </w:rPr>
        <w:t xml:space="preserve"> </w:t>
      </w:r>
      <w:r w:rsidR="005E7B78">
        <w:rPr>
          <w:rFonts w:ascii="Arial" w:hAnsi="Arial"/>
          <w:sz w:val="20"/>
          <w:szCs w:val="20"/>
          <w:lang w:val="pt-BR"/>
        </w:rPr>
        <w:t xml:space="preserve">[...] </w:t>
      </w:r>
      <w:r w:rsidRPr="00F85FDA">
        <w:rPr>
          <w:rFonts w:ascii="Arial" w:hAnsi="Arial"/>
          <w:sz w:val="20"/>
          <w:szCs w:val="20"/>
          <w:lang w:val="pt-BR"/>
        </w:rPr>
        <w:t>(TRF4, AC 5023962-61.2018.4.04.9999, Turma Regional Suplementar de SC, Relator Celso Kipper, juntado aos autos em 04/09/2020).</w:t>
      </w:r>
    </w:p>
    <w:p w14:paraId="35A55650" w14:textId="77777777" w:rsidR="00F85FDA" w:rsidRDefault="00F85FDA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pt-BR"/>
        </w:rPr>
      </w:pPr>
    </w:p>
    <w:p w14:paraId="138A8FF3" w14:textId="05902177" w:rsidR="00393C23" w:rsidRDefault="00393C23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pt-BR"/>
        </w:rPr>
        <w:t>Portanto, a</w:t>
      </w:r>
      <w:r w:rsidRPr="00393C23">
        <w:rPr>
          <w:rFonts w:ascii="Arial" w:hAnsi="Arial"/>
          <w:b/>
          <w:bCs/>
          <w:sz w:val="24"/>
          <w:szCs w:val="24"/>
        </w:rPr>
        <w:t xml:space="preserve"> </w:t>
      </w:r>
      <w:r w:rsidRPr="00393C23">
        <w:rPr>
          <w:rFonts w:ascii="Arial" w:hAnsi="Arial"/>
          <w:sz w:val="24"/>
          <w:szCs w:val="24"/>
        </w:rPr>
        <w:t xml:space="preserve">exposição a agentes biológicos não precisa ser permanente para caracterizar a </w:t>
      </w:r>
      <w:r>
        <w:rPr>
          <w:rFonts w:ascii="Arial" w:hAnsi="Arial"/>
          <w:sz w:val="24"/>
          <w:szCs w:val="24"/>
        </w:rPr>
        <w:t>especialidade</w:t>
      </w:r>
      <w:r w:rsidRPr="00393C23">
        <w:rPr>
          <w:rFonts w:ascii="Arial" w:hAnsi="Arial"/>
          <w:sz w:val="24"/>
          <w:szCs w:val="24"/>
        </w:rPr>
        <w:t xml:space="preserve"> do labor, sendo possível o cômputo do tempo de serviço especial diante do </w:t>
      </w:r>
      <w:r w:rsidRPr="00393C23">
        <w:rPr>
          <w:rFonts w:ascii="Arial" w:hAnsi="Arial"/>
          <w:b/>
          <w:bCs/>
          <w:sz w:val="24"/>
          <w:szCs w:val="24"/>
        </w:rPr>
        <w:t>risco de contágio sempre presente</w:t>
      </w:r>
      <w:r>
        <w:rPr>
          <w:rFonts w:ascii="Arial" w:hAnsi="Arial"/>
          <w:sz w:val="24"/>
          <w:szCs w:val="24"/>
        </w:rPr>
        <w:t xml:space="preserve">, como restou demonstrado no presente caso </w:t>
      </w:r>
      <w:r w:rsidRPr="00393C23">
        <w:rPr>
          <w:rFonts w:ascii="Arial" w:hAnsi="Arial"/>
          <w:sz w:val="24"/>
          <w:szCs w:val="24"/>
        </w:rPr>
        <w:t>(</w:t>
      </w:r>
      <w:r w:rsidRPr="00393C23">
        <w:rPr>
          <w:rFonts w:ascii="Arial" w:hAnsi="Arial"/>
          <w:i/>
          <w:iCs/>
          <w:sz w:val="24"/>
          <w:szCs w:val="24"/>
        </w:rPr>
        <w:t xml:space="preserve">TRF4, AC 5011643-57.2020.4.04.7003, Turma Regional Suplementar </w:t>
      </w:r>
      <w:r>
        <w:rPr>
          <w:rFonts w:ascii="Arial" w:hAnsi="Arial"/>
          <w:i/>
          <w:iCs/>
          <w:sz w:val="24"/>
          <w:szCs w:val="24"/>
        </w:rPr>
        <w:t>do</w:t>
      </w:r>
      <w:r w:rsidRPr="00393C23">
        <w:rPr>
          <w:rFonts w:ascii="Arial" w:hAnsi="Arial"/>
          <w:i/>
          <w:iCs/>
          <w:sz w:val="24"/>
          <w:szCs w:val="24"/>
        </w:rPr>
        <w:t xml:space="preserve"> PR, Relator Márcio Antônio Rocha, juntado aos autos em 10/03/2022</w:t>
      </w:r>
      <w:r w:rsidRPr="00393C23">
        <w:rPr>
          <w:rFonts w:ascii="Arial" w:hAnsi="Arial"/>
          <w:sz w:val="24"/>
          <w:szCs w:val="24"/>
        </w:rPr>
        <w:t>).</w:t>
      </w:r>
    </w:p>
    <w:p w14:paraId="0B7EA07F" w14:textId="77777777" w:rsidR="009847C1" w:rsidRPr="00393C23" w:rsidRDefault="009847C1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 w14:paraId="59C2E9E0" w14:textId="5912A736" w:rsidR="00F267D3" w:rsidRPr="005E1F27" w:rsidRDefault="0089083B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  <w:lang w:val="it-IT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lastRenderedPageBreak/>
        <w:t>PELO EXPO</w:t>
      </w:r>
      <w:r>
        <w:rPr>
          <w:rFonts w:ascii="Arial" w:hAnsi="Arial"/>
          <w:b/>
          <w:bCs/>
          <w:sz w:val="24"/>
          <w:szCs w:val="24"/>
        </w:rPr>
        <w:t>STO</w:t>
      </w:r>
      <w:r>
        <w:rPr>
          <w:rFonts w:ascii="Arial" w:hAnsi="Arial"/>
          <w:sz w:val="24"/>
          <w:szCs w:val="24"/>
        </w:rPr>
        <w:t>, pugna-se pela reconsideração de indeferimento, a fim de reconhecer tempo de contribuição diferenciado em razão do exercício de atividade com efetiva exposição a agentes prejudiciais à saúde</w:t>
      </w:r>
      <w:r w:rsidR="002E5380">
        <w:rPr>
          <w:rFonts w:ascii="Arial" w:hAnsi="Arial"/>
          <w:sz w:val="24"/>
          <w:szCs w:val="24"/>
        </w:rPr>
        <w:t xml:space="preserve"> e à vida</w:t>
      </w:r>
      <w:r>
        <w:rPr>
          <w:rFonts w:ascii="Arial" w:hAnsi="Arial"/>
          <w:sz w:val="24"/>
          <w:szCs w:val="24"/>
        </w:rPr>
        <w:t xml:space="preserve">, relativo ao período de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>
        <w:rPr>
          <w:rFonts w:ascii="Arial" w:hAnsi="Arial"/>
          <w:sz w:val="24"/>
          <w:szCs w:val="24"/>
        </w:rPr>
        <w:t>, nos termos da fundamentaçã</w:t>
      </w:r>
      <w:r>
        <w:rPr>
          <w:rFonts w:ascii="Arial" w:hAnsi="Arial"/>
          <w:sz w:val="24"/>
          <w:szCs w:val="24"/>
          <w:lang w:val="it-IT"/>
        </w:rPr>
        <w:t>o</w:t>
      </w:r>
      <w:r w:rsidR="005E1F27">
        <w:rPr>
          <w:rFonts w:ascii="Arial" w:hAnsi="Arial"/>
          <w:sz w:val="24"/>
          <w:szCs w:val="24"/>
          <w:lang w:val="it-IT"/>
        </w:rPr>
        <w:t>.</w:t>
      </w:r>
    </w:p>
    <w:p w14:paraId="13E0EDFD" w14:textId="77777777" w:rsidR="005E7B78" w:rsidRDefault="005E7B78" w:rsidP="00F85FDA">
      <w:pPr>
        <w:pStyle w:val="Corpo"/>
        <w:spacing w:after="0" w:line="360" w:lineRule="auto"/>
        <w:ind w:firstLine="1134"/>
        <w:jc w:val="both"/>
        <w:rPr>
          <w:rFonts w:ascii="Arial" w:hAnsi="Arial"/>
          <w:sz w:val="24"/>
          <w:szCs w:val="24"/>
        </w:rPr>
      </w:pPr>
    </w:p>
    <w:p w14:paraId="4921C71C" w14:textId="64A4731C" w:rsidR="00FE7EF1" w:rsidRDefault="0089083B" w:rsidP="00F85FDA">
      <w:pPr>
        <w:pStyle w:val="Corpo"/>
        <w:spacing w:after="0" w:line="360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em caso de manutenção da decisão de indeferimento, requer-se, nos termos do art. 15, §2º da IN 05/2023, o encaminhamento do presente recurso para deliberação da Diretoria de Benefí</w:t>
      </w:r>
      <w:r>
        <w:rPr>
          <w:rFonts w:ascii="Arial" w:hAnsi="Arial"/>
          <w:sz w:val="24"/>
          <w:szCs w:val="24"/>
          <w:lang w:val="it-IT"/>
        </w:rPr>
        <w:t>cio e, se necess</w:t>
      </w:r>
      <w:r>
        <w:rPr>
          <w:rFonts w:ascii="Arial" w:hAnsi="Arial"/>
          <w:sz w:val="24"/>
          <w:szCs w:val="24"/>
        </w:rPr>
        <w:t>ário, da Diretoria Executiva do IPE-PREV.</w:t>
      </w:r>
    </w:p>
    <w:p w14:paraId="2FE0652D" w14:textId="77777777" w:rsidR="00FE7EF1" w:rsidRDefault="00FE7EF1">
      <w:pPr>
        <w:pStyle w:val="Corpo"/>
        <w:spacing w:line="276" w:lineRule="auto"/>
        <w:ind w:firstLine="1134"/>
        <w:jc w:val="both"/>
        <w:rPr>
          <w:rFonts w:ascii="Arial" w:eastAsia="Arial" w:hAnsi="Arial" w:cs="Arial"/>
          <w:sz w:val="24"/>
          <w:szCs w:val="24"/>
        </w:rPr>
      </w:pPr>
    </w:p>
    <w:p w14:paraId="4E963E52" w14:textId="77777777" w:rsidR="00FE7EF1" w:rsidRPr="0042063F" w:rsidRDefault="0089083B">
      <w:pPr>
        <w:pStyle w:val="Corpo"/>
        <w:spacing w:line="276" w:lineRule="auto"/>
        <w:ind w:firstLine="1134"/>
        <w:jc w:val="center"/>
        <w:rPr>
          <w:rFonts w:ascii="Arial" w:hAnsi="Arial"/>
          <w:sz w:val="24"/>
          <w:szCs w:val="24"/>
          <w:lang w:val="pt-BR"/>
        </w:rPr>
      </w:pPr>
      <w:r w:rsidRPr="0042063F">
        <w:rPr>
          <w:rFonts w:ascii="Arial" w:hAnsi="Arial"/>
          <w:sz w:val="24"/>
          <w:szCs w:val="24"/>
          <w:lang w:val="pt-BR"/>
        </w:rPr>
        <w:t>Nestes termos, pede deferimento.</w:t>
      </w:r>
    </w:p>
    <w:p w14:paraId="74E1BADC" w14:textId="313C5685" w:rsidR="00FE7EF1" w:rsidRPr="0042063F" w:rsidRDefault="0089083B">
      <w:pPr>
        <w:pStyle w:val="Corpo"/>
        <w:spacing w:line="276" w:lineRule="auto"/>
        <w:ind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42063F">
        <w:rPr>
          <w:rFonts w:ascii="Arial" w:hAnsi="Arial"/>
          <w:sz w:val="24"/>
          <w:szCs w:val="24"/>
          <w:lang w:val="pt-BR"/>
        </w:rPr>
        <w:t xml:space="preserve">Porto Alegre/RS,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917A0D">
        <w:rPr>
          <w:rFonts w:ascii="Arial" w:hAnsi="Arial"/>
          <w:sz w:val="24"/>
          <w:szCs w:val="24"/>
          <w:lang w:val="pt-BR"/>
        </w:rPr>
        <w:t xml:space="preserve"> de </w:t>
      </w:r>
      <w:r w:rsidR="002E5380" w:rsidRPr="002E5380">
        <w:rPr>
          <w:rFonts w:ascii="Arial" w:hAnsi="Arial"/>
          <w:sz w:val="24"/>
          <w:szCs w:val="24"/>
          <w:highlight w:val="yellow"/>
          <w:lang w:val="pt-BR"/>
        </w:rPr>
        <w:t>XXX</w:t>
      </w:r>
      <w:r w:rsidR="002E5380" w:rsidRPr="0042063F">
        <w:rPr>
          <w:rFonts w:ascii="Arial" w:hAnsi="Arial"/>
          <w:sz w:val="24"/>
          <w:szCs w:val="24"/>
          <w:lang w:val="pt-BR"/>
        </w:rPr>
        <w:t xml:space="preserve"> </w:t>
      </w:r>
      <w:r w:rsidRPr="0042063F">
        <w:rPr>
          <w:rFonts w:ascii="Arial" w:hAnsi="Arial"/>
          <w:sz w:val="24"/>
          <w:szCs w:val="24"/>
          <w:lang w:val="pt-BR"/>
        </w:rPr>
        <w:t>de 2023</w:t>
      </w:r>
    </w:p>
    <w:p w14:paraId="12CA796B" w14:textId="77777777" w:rsidR="00FE7EF1" w:rsidRPr="0042063F" w:rsidRDefault="00FE7EF1">
      <w:pPr>
        <w:pStyle w:val="Corpo"/>
        <w:spacing w:line="276" w:lineRule="auto"/>
        <w:ind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7CA0BC22" w14:textId="77777777" w:rsidR="00FE7EF1" w:rsidRPr="002E5380" w:rsidRDefault="00FE7EF1">
      <w:pPr>
        <w:pStyle w:val="Corpo"/>
        <w:spacing w:line="276" w:lineRule="auto"/>
        <w:ind w:firstLine="1134"/>
        <w:jc w:val="center"/>
        <w:rPr>
          <w:rFonts w:ascii="Arial" w:eastAsia="Arial" w:hAnsi="Arial" w:cs="Arial"/>
          <w:sz w:val="24"/>
          <w:szCs w:val="24"/>
          <w:lang w:val="pt-BR"/>
        </w:rPr>
      </w:pPr>
    </w:p>
    <w:p w14:paraId="3D5E6262" w14:textId="3DD1AE74" w:rsidR="00FE7EF1" w:rsidRPr="002E5380" w:rsidRDefault="002E5380" w:rsidP="00B25DD0">
      <w:pPr>
        <w:pStyle w:val="Corpo"/>
        <w:spacing w:line="276" w:lineRule="auto"/>
        <w:ind w:firstLine="1134"/>
        <w:jc w:val="center"/>
        <w:rPr>
          <w:rFonts w:ascii="Arial" w:hAnsi="Arial" w:cs="Arial"/>
          <w:sz w:val="24"/>
          <w:szCs w:val="24"/>
          <w:lang w:val="pt-BR"/>
        </w:rPr>
      </w:pPr>
      <w:r w:rsidRPr="002E5380"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14:paraId="190AB2C0" w14:textId="75646578" w:rsidR="002E5380" w:rsidRPr="002E5380" w:rsidRDefault="002E5380" w:rsidP="00B25DD0">
      <w:pPr>
        <w:pStyle w:val="Corpo"/>
        <w:spacing w:line="276" w:lineRule="auto"/>
        <w:ind w:firstLine="1134"/>
        <w:jc w:val="center"/>
        <w:rPr>
          <w:rFonts w:ascii="Arial" w:hAnsi="Arial" w:cs="Arial"/>
          <w:sz w:val="24"/>
          <w:szCs w:val="24"/>
          <w:lang w:val="pt-BR"/>
        </w:rPr>
      </w:pPr>
      <w:r w:rsidRPr="002E5380">
        <w:rPr>
          <w:rFonts w:ascii="Arial" w:hAnsi="Arial" w:cs="Arial"/>
          <w:sz w:val="24"/>
          <w:szCs w:val="24"/>
          <w:lang w:val="pt-BR"/>
        </w:rPr>
        <w:t xml:space="preserve">Identidade Funcional n. </w:t>
      </w:r>
      <w:r w:rsidRPr="002E5380">
        <w:rPr>
          <w:rFonts w:ascii="Arial" w:hAnsi="Arial" w:cs="Arial"/>
          <w:sz w:val="24"/>
          <w:szCs w:val="24"/>
          <w:highlight w:val="yellow"/>
          <w:lang w:val="pt-BR"/>
        </w:rPr>
        <w:t>XXX</w:t>
      </w:r>
    </w:p>
    <w:sectPr w:rsidR="002E5380" w:rsidRPr="002E5380">
      <w:headerReference w:type="default" r:id="rId10"/>
      <w:footerReference w:type="defaul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D41AC" w14:textId="77777777" w:rsidR="009924D4" w:rsidRDefault="009924D4">
      <w:r>
        <w:separator/>
      </w:r>
    </w:p>
  </w:endnote>
  <w:endnote w:type="continuationSeparator" w:id="0">
    <w:p w14:paraId="49323B2D" w14:textId="77777777" w:rsidR="009924D4" w:rsidRDefault="00992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8B11A" w14:textId="77777777" w:rsidR="00FE7EF1" w:rsidRDefault="00FE7EF1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B97D7" w14:textId="77777777" w:rsidR="009924D4" w:rsidRDefault="009924D4">
      <w:r>
        <w:separator/>
      </w:r>
    </w:p>
  </w:footnote>
  <w:footnote w:type="continuationSeparator" w:id="0">
    <w:p w14:paraId="70EC16F5" w14:textId="77777777" w:rsidR="009924D4" w:rsidRDefault="009924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A61B" w14:textId="77777777" w:rsidR="00FE7EF1" w:rsidRDefault="00FE7EF1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EF1"/>
    <w:rsid w:val="0005162F"/>
    <w:rsid w:val="00070C50"/>
    <w:rsid w:val="00076DBC"/>
    <w:rsid w:val="00076DBD"/>
    <w:rsid w:val="000C3246"/>
    <w:rsid w:val="00116B97"/>
    <w:rsid w:val="00192D5F"/>
    <w:rsid w:val="001941F2"/>
    <w:rsid w:val="001962B8"/>
    <w:rsid w:val="00270ADB"/>
    <w:rsid w:val="0029443D"/>
    <w:rsid w:val="002974F2"/>
    <w:rsid w:val="002A454E"/>
    <w:rsid w:val="002C1DCC"/>
    <w:rsid w:val="002C7162"/>
    <w:rsid w:val="002E033A"/>
    <w:rsid w:val="002E5380"/>
    <w:rsid w:val="00302BAD"/>
    <w:rsid w:val="00393C23"/>
    <w:rsid w:val="003B653A"/>
    <w:rsid w:val="0042063F"/>
    <w:rsid w:val="004351E5"/>
    <w:rsid w:val="004779E4"/>
    <w:rsid w:val="004C61F6"/>
    <w:rsid w:val="00540E9A"/>
    <w:rsid w:val="005468B7"/>
    <w:rsid w:val="005A15F4"/>
    <w:rsid w:val="005E1F27"/>
    <w:rsid w:val="005E7B78"/>
    <w:rsid w:val="006231E1"/>
    <w:rsid w:val="006A4902"/>
    <w:rsid w:val="006A5951"/>
    <w:rsid w:val="006B182D"/>
    <w:rsid w:val="006D1F95"/>
    <w:rsid w:val="00701FD2"/>
    <w:rsid w:val="0070250D"/>
    <w:rsid w:val="00715F99"/>
    <w:rsid w:val="00716471"/>
    <w:rsid w:val="007C2044"/>
    <w:rsid w:val="007C2B84"/>
    <w:rsid w:val="008566EF"/>
    <w:rsid w:val="0089083B"/>
    <w:rsid w:val="008B79DB"/>
    <w:rsid w:val="00901643"/>
    <w:rsid w:val="00917A0D"/>
    <w:rsid w:val="00963C5E"/>
    <w:rsid w:val="009847C1"/>
    <w:rsid w:val="009924D4"/>
    <w:rsid w:val="009935A6"/>
    <w:rsid w:val="009B5DCF"/>
    <w:rsid w:val="009C4F5F"/>
    <w:rsid w:val="009D1223"/>
    <w:rsid w:val="00A252C4"/>
    <w:rsid w:val="00A47ED3"/>
    <w:rsid w:val="00A81438"/>
    <w:rsid w:val="00AA2EF9"/>
    <w:rsid w:val="00AD0B3E"/>
    <w:rsid w:val="00B25DD0"/>
    <w:rsid w:val="00B62B15"/>
    <w:rsid w:val="00B77AE4"/>
    <w:rsid w:val="00B80BEB"/>
    <w:rsid w:val="00B862D6"/>
    <w:rsid w:val="00BE5D4C"/>
    <w:rsid w:val="00BF153D"/>
    <w:rsid w:val="00BF63BC"/>
    <w:rsid w:val="00C35810"/>
    <w:rsid w:val="00C629E0"/>
    <w:rsid w:val="00C86FED"/>
    <w:rsid w:val="00CC49F3"/>
    <w:rsid w:val="00CD09E6"/>
    <w:rsid w:val="00D76F20"/>
    <w:rsid w:val="00D81EFD"/>
    <w:rsid w:val="00DA4A7E"/>
    <w:rsid w:val="00DA50ED"/>
    <w:rsid w:val="00DB1856"/>
    <w:rsid w:val="00E13CAB"/>
    <w:rsid w:val="00E25FC0"/>
    <w:rsid w:val="00F02B23"/>
    <w:rsid w:val="00F267D3"/>
    <w:rsid w:val="00F34E90"/>
    <w:rsid w:val="00F85FDA"/>
    <w:rsid w:val="00F8693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89B5"/>
  <w15:docId w15:val="{9159C7EF-F1D5-43E1-BB9B-AFB8472A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93C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pPr>
      <w:spacing w:after="160" w:line="259" w:lineRule="auto"/>
    </w:pPr>
    <w:rPr>
      <w:rFonts w:ascii="Calibri" w:hAnsi="Calibri" w:cs="Arial Unicode MS"/>
      <w:color w:val="000000"/>
      <w:kern w:val="2"/>
      <w:sz w:val="22"/>
      <w:szCs w:val="22"/>
      <w:u w:color="000000"/>
      <w:lang w:val="pt-PT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2Char">
    <w:name w:val="Título 2 Char"/>
    <w:basedOn w:val="Fontepargpadro"/>
    <w:link w:val="Ttulo2"/>
    <w:uiPriority w:val="9"/>
    <w:semiHidden/>
    <w:rsid w:val="00393C2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231E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231E1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231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4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5543D274004C8910C1BA79B1FA67" ma:contentTypeVersion="7" ma:contentTypeDescription="Create a new document." ma:contentTypeScope="" ma:versionID="f6af755abb8bcef4ead99d268543e686">
  <xsd:schema xmlns:xsd="http://www.w3.org/2001/XMLSchema" xmlns:xs="http://www.w3.org/2001/XMLSchema" xmlns:p="http://schemas.microsoft.com/office/2006/metadata/properties" xmlns:ns3="99f80ce8-a5d5-4521-95b0-dbb206ff74aa" targetNamespace="http://schemas.microsoft.com/office/2006/metadata/properties" ma:root="true" ma:fieldsID="31395507036278b1f7665bc840098653" ns3:_="">
    <xsd:import namespace="99f80ce8-a5d5-4521-95b0-dbb206ff7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80ce8-a5d5-4521-95b0-dbb206ff74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B4AB-8087-43F1-913E-F8DBD8EFC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A0E9D-DC25-47FC-A4E9-922FB5C6E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B5070-CABC-4C63-B597-CA633A729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80ce8-a5d5-4521-95b0-dbb206ff7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A8BE8-B06C-473B-B5A5-22F5FC7D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Fernandes</dc:creator>
  <cp:lastModifiedBy>José Augusto Japur</cp:lastModifiedBy>
  <cp:revision>35</cp:revision>
  <cp:lastPrinted>2023-07-27T15:25:00Z</cp:lastPrinted>
  <dcterms:created xsi:type="dcterms:W3CDTF">2023-07-27T20:29:00Z</dcterms:created>
  <dcterms:modified xsi:type="dcterms:W3CDTF">2023-10-20T15:38:00Z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0x010100F2B45543D274004C8910C1BA79B1FA67</vt:lpwstr>
  </property>
</Properties>
</file>