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  <w:t>ILUSTRE CHEFE DA DIVISÃO DE GESTÃO DE PESSOAS DO DEPARTAMENTO ADMINISTRATIVO DA SECRETARIA DE SAÚDE DO ESTADO DO RIO GRANDE DO SUL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Eu, </w:t>
      </w:r>
      <w:r>
        <w:rPr>
          <w:rFonts w:cs="Arial" w:ascii="Arial" w:hAnsi="Arial"/>
          <w:b/>
          <w:bCs/>
          <w:iCs/>
          <w:sz w:val="24"/>
          <w:szCs w:val="24"/>
        </w:rPr>
        <w:t>[</w:t>
      </w:r>
      <w:r>
        <w:rPr>
          <w:rFonts w:cs="Arial" w:ascii="Arial" w:hAnsi="Arial"/>
          <w:b/>
          <w:bCs/>
          <w:iCs/>
          <w:sz w:val="24"/>
          <w:szCs w:val="24"/>
          <w:highlight w:val="yellow"/>
        </w:rPr>
        <w:t>nome completo</w:t>
      </w:r>
      <w:r>
        <w:rPr>
          <w:rFonts w:cs="Arial" w:ascii="Arial" w:hAnsi="Arial"/>
          <w:b/>
          <w:bCs/>
          <w:iCs/>
          <w:sz w:val="24"/>
          <w:szCs w:val="24"/>
        </w:rPr>
        <w:t>]</w:t>
      </w:r>
      <w:r>
        <w:rPr>
          <w:rFonts w:cs="Arial" w:ascii="Arial" w:hAnsi="Arial"/>
          <w:iCs/>
          <w:sz w:val="24"/>
          <w:szCs w:val="24"/>
        </w:rPr>
        <w:t>, matrícula funcional n. [</w:t>
      </w:r>
      <w:r>
        <w:rPr>
          <w:rFonts w:cs="Arial" w:ascii="Arial" w:hAnsi="Arial"/>
          <w:iCs/>
          <w:sz w:val="24"/>
          <w:szCs w:val="24"/>
          <w:highlight w:val="yellow"/>
        </w:rPr>
        <w:t>número</w:t>
      </w:r>
      <w:r>
        <w:rPr>
          <w:rFonts w:cs="Arial" w:ascii="Arial" w:hAnsi="Arial"/>
          <w:iCs/>
          <w:sz w:val="24"/>
          <w:szCs w:val="24"/>
        </w:rPr>
        <w:t xml:space="preserve">], venho, respeitosamente, </w:t>
      </w:r>
      <w:r>
        <w:rPr>
          <w:rFonts w:cs="Arial" w:ascii="Arial" w:hAnsi="Arial"/>
          <w:b/>
          <w:bCs/>
          <w:iCs/>
          <w:sz w:val="24"/>
          <w:szCs w:val="24"/>
        </w:rPr>
        <w:t>REQUERER</w:t>
      </w:r>
      <w:r>
        <w:rPr>
          <w:rFonts w:cs="Arial" w:ascii="Arial" w:hAnsi="Arial"/>
          <w:iCs/>
          <w:sz w:val="24"/>
          <w:szCs w:val="24"/>
        </w:rPr>
        <w:t xml:space="preserve"> a inclusão da gratificação de função especial de [</w:t>
      </w:r>
      <w:r>
        <w:rPr>
          <w:rFonts w:cs="Arial" w:ascii="Arial" w:hAnsi="Arial"/>
          <w:iCs/>
          <w:sz w:val="24"/>
          <w:szCs w:val="24"/>
          <w:highlight w:val="yellow"/>
        </w:rPr>
        <w:t>regulação/ouvidor/pregoeiro/auditor</w:t>
      </w:r>
      <w:r>
        <w:rPr>
          <w:rFonts w:cs="Arial" w:ascii="Arial" w:hAnsi="Arial"/>
          <w:iCs/>
          <w:sz w:val="24"/>
          <w:szCs w:val="24"/>
        </w:rPr>
        <w:t>], percebida até dezembro de 2024, na base de cálculo da parcela de irredutibilidade, instituída pelo art. 132 da Lei n. 16.165/2024, tendo em vista a orientação traçada no Parecer n. 21.393/2025, da PGERS</w:t>
      </w:r>
      <w:r>
        <w:rPr>
          <w:rStyle w:val="Ncoradanotaderodap"/>
          <w:rFonts w:cs="Arial" w:ascii="Arial" w:hAnsi="Arial"/>
          <w:iCs/>
          <w:sz w:val="24"/>
          <w:szCs w:val="24"/>
        </w:rPr>
        <w:footnoteReference w:id="2"/>
      </w:r>
      <w:r>
        <w:rPr>
          <w:rFonts w:cs="Arial" w:ascii="Arial" w:hAnsi="Arial"/>
          <w:iCs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Em dezembro de 2024, o/a Requerente recebia a gratificação de desempenho de função especial, prevista no art. 41 da Lei n. 13.417/2010, conforme comprova o contracheque anexo. </w:t>
      </w:r>
    </w:p>
    <w:p>
      <w:pPr>
        <w:pStyle w:val="Normal"/>
        <w:spacing w:lineRule="auto" w:line="360"/>
        <w:jc w:val="center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Ocorre que, indo de encontro ao art. 132, inc. VI da Lei n. 16.165/2024, o/a</w:t>
      </w:r>
      <w:r>
        <w:rPr>
          <w:rFonts w:cs="Arial" w:ascii="Arial" w:hAnsi="Arial"/>
          <w:b/>
          <w:bCs/>
          <w:iCs/>
          <w:sz w:val="24"/>
          <w:szCs w:val="24"/>
        </w:rPr>
        <w:t xml:space="preserve"> Requerente não teve a gratificação de função especial computada na base de cálculo da parcela de irredutibilidade</w:t>
      </w:r>
      <w:r>
        <w:rPr>
          <w:rFonts w:cs="Arial" w:ascii="Arial" w:hAnsi="Arial"/>
          <w:iCs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Cs/>
          <w:sz w:val="24"/>
          <w:szCs w:val="24"/>
        </w:rPr>
        <w:t>causando imediatamente uma perda remuneratória significativa</w:t>
      </w:r>
      <w:r>
        <w:rPr>
          <w:rFonts w:cs="Arial" w:ascii="Arial" w:hAnsi="Arial"/>
          <w:i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</w:rPr>
        <w:t>desde janeiro de 2025</w:t>
      </w:r>
      <w:r>
        <w:rPr>
          <w:rFonts w:cs="Arial" w:ascii="Arial" w:hAnsi="Arial"/>
          <w:iCs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Ao analisar esta situação de perda remuneratória, a PGERS, no Parecer n. 21.393/2025, reconheceu que a gratificação de função especial, prevista no art. 41 da Lei n. 13.417/2010, muito embora não esteja expressamente indicada no rol taxativo do art. 132 da Lei n. 16.165/2024, </w:t>
      </w:r>
      <w:r>
        <w:rPr>
          <w:rFonts w:cs="Arial" w:ascii="Arial" w:hAnsi="Arial"/>
          <w:b/>
          <w:bCs/>
          <w:iCs/>
          <w:sz w:val="24"/>
          <w:szCs w:val="24"/>
        </w:rPr>
        <w:t>enquadra-se como vantagem de caráter temporário</w:t>
      </w:r>
      <w:r>
        <w:rPr>
          <w:rFonts w:cs="Arial" w:ascii="Arial" w:hAnsi="Arial"/>
          <w:iCs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Cs/>
          <w:sz w:val="24"/>
          <w:szCs w:val="24"/>
        </w:rPr>
        <w:t>nos termos do inciso VI do referido artigo</w:t>
      </w:r>
      <w:r>
        <w:rPr>
          <w:rFonts w:cs="Arial" w:ascii="Arial" w:hAnsi="Arial"/>
          <w:iCs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Cs/>
          <w:sz w:val="24"/>
          <w:szCs w:val="24"/>
        </w:rPr>
        <w:t>e</w:t>
      </w:r>
      <w:r>
        <w:rPr>
          <w:rFonts w:cs="Arial" w:ascii="Arial" w:hAnsi="Arial"/>
          <w:iCs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Cs/>
          <w:sz w:val="24"/>
          <w:szCs w:val="24"/>
        </w:rPr>
        <w:t>por isso</w:t>
      </w:r>
      <w:r>
        <w:rPr>
          <w:rFonts w:cs="Arial" w:ascii="Arial" w:hAnsi="Arial"/>
          <w:iCs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Cs/>
          <w:sz w:val="24"/>
          <w:szCs w:val="24"/>
        </w:rPr>
        <w:t>DEVE compor a base da parcela de irredutibilidade enquanto presentes as condições que ensejavam seu pagamento</w:t>
      </w:r>
      <w:r>
        <w:rPr>
          <w:rFonts w:cs="Arial" w:ascii="Arial" w:hAnsi="Arial"/>
          <w:iCs/>
          <w:sz w:val="24"/>
          <w:szCs w:val="24"/>
        </w:rPr>
        <w:t xml:space="preserve">. Segundo a ementa do parecer: 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taderodap"/>
        <w:ind w:left="2268" w:hanging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REESTRUTURAÇÃO DE CARREIRAS. LEI ESTADUAL N° 16.165/2024. REMUNERAÇÃO POR SUBSÍDIO. PARCELA DE IRREDUTIBILIDADE. CEDÊNCIA. GRATIFICAÇÕES NÃO ABARCADAS NO ROL DO INCISO III DO ARTIGO 132.</w:t>
      </w:r>
    </w:p>
    <w:p>
      <w:pPr>
        <w:pStyle w:val="Notaderodap"/>
        <w:ind w:left="2268" w:hanging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[...]</w:t>
      </w:r>
    </w:p>
    <w:p>
      <w:pPr>
        <w:pStyle w:val="Notaderodap"/>
        <w:ind w:left="2268" w:hanging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4. </w:t>
      </w:r>
      <w:r>
        <w:rPr>
          <w:rFonts w:cs="Arial" w:ascii="Arial" w:hAnsi="Arial"/>
          <w:i/>
          <w:iCs/>
          <w:highlight w:val="lightGray"/>
        </w:rPr>
        <w:t>As gratificações disciplinadas pelo artigo 41 da Lei n° 13.417/2010</w:t>
      </w:r>
      <w:r>
        <w:rPr>
          <w:rFonts w:cs="Arial" w:ascii="Arial" w:hAnsi="Arial"/>
          <w:i/>
          <w:iCs/>
        </w:rPr>
        <w:t xml:space="preserve"> e pela Lei n° 14.368/2013 não possuem natureza semelhante à das arroladas no inciso III do artigo 132, tampouco foram mencionadas no inciso IV do mesmo dispositivo, </w:t>
      </w:r>
      <w:r>
        <w:rPr>
          <w:rFonts w:cs="Arial" w:ascii="Arial" w:hAnsi="Arial"/>
          <w:i/>
          <w:iCs/>
          <w:highlight w:val="lightGray"/>
        </w:rPr>
        <w:t>mas, por força do inciso VI deste, os respectivos valores devem integrar o cálculo da parcela de irredutibilidade enquanto perdurarem as condições que ensejam a sua percepção.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b/>
          <w:b/>
          <w:bCs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Na presente hipótese, o/a</w:t>
      </w:r>
      <w:r>
        <w:rPr>
          <w:rFonts w:cs="Arial" w:ascii="Arial" w:hAnsi="Arial"/>
          <w:b/>
          <w:bCs/>
          <w:iCs/>
          <w:sz w:val="24"/>
          <w:szCs w:val="24"/>
        </w:rPr>
        <w:t xml:space="preserve"> Requerente permanece no exercício das atividades que justificavam o pagamento da gratificação de função especial</w:t>
      </w:r>
      <w:r>
        <w:rPr>
          <w:rFonts w:cs="Arial" w:ascii="Arial" w:hAnsi="Arial"/>
          <w:iCs/>
          <w:sz w:val="24"/>
          <w:szCs w:val="24"/>
        </w:rPr>
        <w:t>, tanto que designado/a para receber a Função Gratificada Transversal 03 (FGT-03) prevista na Lei n. 16.165/2024, conforme comprova o contracheque anexo.</w:t>
      </w:r>
    </w:p>
    <w:p>
      <w:pPr>
        <w:pStyle w:val="Normal"/>
        <w:spacing w:lineRule="auto" w:line="36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No </w:t>
      </w:r>
      <w:r>
        <w:rPr>
          <w:rFonts w:cs="Arial" w:ascii="Arial" w:hAnsi="Arial"/>
          <w:b/>
          <w:bCs/>
          <w:iCs/>
          <w:sz w:val="24"/>
          <w:szCs w:val="24"/>
        </w:rPr>
        <w:t>Parecer n. 21.393/2025</w:t>
      </w:r>
      <w:r>
        <w:rPr>
          <w:rFonts w:cs="Arial" w:ascii="Arial" w:hAnsi="Arial"/>
          <w:iCs/>
          <w:sz w:val="24"/>
          <w:szCs w:val="24"/>
        </w:rPr>
        <w:t xml:space="preserve">, a PGERS reconhece que </w:t>
      </w:r>
      <w:r>
        <w:rPr>
          <w:rFonts w:cs="Arial" w:ascii="Arial" w:hAnsi="Arial"/>
          <w:b/>
          <w:bCs/>
          <w:i/>
          <w:sz w:val="24"/>
          <w:szCs w:val="24"/>
        </w:rPr>
        <w:t>o parâmetro para aferição de eventual decréscimo remuneratório é o subsídio do novel cargo</w:t>
      </w:r>
      <w:r>
        <w:rPr>
          <w:rFonts w:cs="Arial" w:ascii="Arial" w:hAnsi="Arial"/>
          <w:i/>
          <w:sz w:val="24"/>
          <w:szCs w:val="24"/>
        </w:rPr>
        <w:t>, que deve ser cotejado com o valor nominal da remuneração anterior, aí abrangidas as parcelas elencadas no sobredito artigo 132.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No </w:t>
      </w:r>
      <w:r>
        <w:rPr>
          <w:rFonts w:cs="Arial" w:ascii="Arial" w:hAnsi="Arial"/>
          <w:b/>
          <w:bCs/>
          <w:iCs/>
          <w:sz w:val="24"/>
          <w:szCs w:val="24"/>
        </w:rPr>
        <w:t>Parecer n. 21.329/2025</w:t>
      </w:r>
      <w:r>
        <w:rPr>
          <w:rFonts w:cs="Arial" w:ascii="Arial" w:hAnsi="Arial"/>
          <w:iCs/>
          <w:sz w:val="24"/>
          <w:szCs w:val="24"/>
        </w:rPr>
        <w:t xml:space="preserve">, a PGERS reconhece que </w:t>
      </w:r>
      <w:r>
        <w:rPr>
          <w:rFonts w:cs="Arial" w:ascii="Arial" w:hAnsi="Arial"/>
          <w:i/>
          <w:sz w:val="24"/>
          <w:szCs w:val="24"/>
        </w:rPr>
        <w:t xml:space="preserve">o caput do art. 132 da lei em comento aduz que </w:t>
      </w:r>
      <w:r>
        <w:rPr>
          <w:rFonts w:cs="Arial" w:ascii="Arial" w:hAnsi="Arial"/>
          <w:b/>
          <w:bCs/>
          <w:i/>
          <w:sz w:val="24"/>
          <w:szCs w:val="24"/>
        </w:rPr>
        <w:t>será assegurada a percepção de uma parcela de irredutibilidade</w:t>
      </w:r>
      <w:r>
        <w:rPr>
          <w:rFonts w:cs="Arial" w:ascii="Arial" w:hAnsi="Arial"/>
          <w:i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/>
          <w:sz w:val="24"/>
          <w:szCs w:val="24"/>
        </w:rPr>
        <w:t>de natureza transitória</w:t>
      </w:r>
      <w:r>
        <w:rPr>
          <w:rFonts w:cs="Arial" w:ascii="Arial" w:hAnsi="Arial"/>
          <w:i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/>
          <w:sz w:val="24"/>
          <w:szCs w:val="24"/>
        </w:rPr>
        <w:t>quando o subsídio fixado para o grau e nível em que tenha sido reenquadrado o servidor na nova carreira for inferior ao somatório das vantagens elencadas nos seus incisos</w:t>
      </w:r>
      <w:r>
        <w:rPr>
          <w:rFonts w:cs="Arial" w:ascii="Arial" w:hAnsi="Arial"/>
          <w:i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Dessa maneira, </w:t>
      </w:r>
      <w:r>
        <w:rPr>
          <w:rFonts w:cs="Arial" w:ascii="Arial" w:hAnsi="Arial"/>
          <w:b/>
          <w:bCs/>
          <w:iCs/>
          <w:sz w:val="24"/>
          <w:szCs w:val="24"/>
        </w:rPr>
        <w:t>REQUER-SE</w:t>
      </w:r>
      <w:r>
        <w:rPr>
          <w:rFonts w:cs="Arial" w:ascii="Arial" w:hAnsi="Arial"/>
          <w:iCs/>
          <w:sz w:val="24"/>
          <w:szCs w:val="24"/>
        </w:rPr>
        <w:t xml:space="preserve">, com fundamento no art. 132, inc. VI, da Lei n. 16.165/2024 e nos Pareceres n. 21.393/2025 e 21.329/2025, da PGERS, </w:t>
      </w:r>
      <w:r>
        <w:rPr>
          <w:rFonts w:cs="Arial" w:ascii="Arial" w:hAnsi="Arial"/>
          <w:b/>
          <w:bCs/>
          <w:iCs/>
          <w:sz w:val="24"/>
          <w:szCs w:val="24"/>
        </w:rPr>
        <w:t>a correção do contracheque para que seja computada a gratificação de função especial</w:t>
      </w:r>
      <w:r>
        <w:rPr>
          <w:rFonts w:cs="Arial" w:ascii="Arial" w:hAnsi="Arial"/>
          <w:iCs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Cs/>
          <w:sz w:val="24"/>
          <w:szCs w:val="24"/>
        </w:rPr>
        <w:t>percebida regularmente até dezembro de 2024</w:t>
      </w:r>
      <w:r>
        <w:rPr>
          <w:rFonts w:cs="Arial" w:ascii="Arial" w:hAnsi="Arial"/>
          <w:iCs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Cs/>
          <w:sz w:val="24"/>
          <w:szCs w:val="24"/>
        </w:rPr>
        <w:t>na base de cálculo da parcela de irredutibilidade</w:t>
      </w:r>
      <w:r>
        <w:rPr>
          <w:rFonts w:cs="Arial" w:ascii="Arial" w:hAnsi="Arial"/>
          <w:iCs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iCs/>
          <w:sz w:val="24"/>
          <w:szCs w:val="24"/>
        </w:rPr>
        <w:t>com efeitos a contar de 01/01/2025</w:t>
      </w:r>
      <w:r>
        <w:rPr>
          <w:rFonts w:cs="Arial" w:ascii="Arial" w:hAnsi="Arial"/>
          <w:iCs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Nestes termos, pede deferimento.</w:t>
      </w:r>
    </w:p>
    <w:p>
      <w:pPr>
        <w:pStyle w:val="Normal"/>
        <w:spacing w:lineRule="auto" w:line="360"/>
        <w:jc w:val="center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Porto Alegre/RS, [</w:t>
      </w:r>
      <w:r>
        <w:rPr>
          <w:rFonts w:cs="Arial" w:ascii="Arial" w:hAnsi="Arial"/>
          <w:iCs/>
          <w:sz w:val="24"/>
          <w:szCs w:val="24"/>
          <w:highlight w:val="yellow"/>
        </w:rPr>
        <w:t>dia</w:t>
      </w:r>
      <w:r>
        <w:rPr>
          <w:rFonts w:cs="Arial" w:ascii="Arial" w:hAnsi="Arial"/>
          <w:iCs/>
          <w:sz w:val="24"/>
          <w:szCs w:val="24"/>
        </w:rPr>
        <w:t>] do [</w:t>
      </w:r>
      <w:r>
        <w:rPr>
          <w:rFonts w:cs="Arial" w:ascii="Arial" w:hAnsi="Arial"/>
          <w:iCs/>
          <w:sz w:val="24"/>
          <w:szCs w:val="24"/>
          <w:highlight w:val="yellow"/>
        </w:rPr>
        <w:t>mês</w:t>
      </w:r>
      <w:r>
        <w:rPr>
          <w:rFonts w:cs="Arial" w:ascii="Arial" w:hAnsi="Arial"/>
          <w:iCs/>
          <w:sz w:val="24"/>
          <w:szCs w:val="24"/>
        </w:rPr>
        <w:t>] de 2025</w:t>
      </w:r>
    </w:p>
    <w:p>
      <w:pPr>
        <w:pStyle w:val="Normal"/>
        <w:spacing w:lineRule="auto" w:line="360"/>
        <w:jc w:val="center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  <w:t>[</w:t>
      </w:r>
      <w:r>
        <w:rPr>
          <w:rFonts w:cs="Arial" w:ascii="Arial" w:hAnsi="Arial"/>
          <w:b/>
          <w:bCs/>
          <w:iCs/>
          <w:sz w:val="24"/>
          <w:szCs w:val="24"/>
          <w:highlight w:val="yellow"/>
        </w:rPr>
        <w:t>nome completo</w:t>
      </w:r>
      <w:r>
        <w:rPr>
          <w:rFonts w:cs="Arial" w:ascii="Arial" w:hAnsi="Arial"/>
          <w:b/>
          <w:bCs/>
          <w:iCs/>
          <w:sz w:val="24"/>
          <w:szCs w:val="24"/>
        </w:rPr>
        <w:t>]</w:t>
      </w:r>
      <w:r>
        <w:rPr>
          <w:rFonts w:cs="Arial" w:ascii="Arial" w:hAnsi="Arial"/>
          <w:iCs/>
          <w:sz w:val="24"/>
          <w:szCs w:val="24"/>
        </w:rPr>
        <w:br/>
        <w:t>Matrícula n. [</w:t>
      </w:r>
      <w:r>
        <w:rPr>
          <w:rFonts w:cs="Arial" w:ascii="Arial" w:hAnsi="Arial"/>
          <w:iCs/>
          <w:sz w:val="24"/>
          <w:szCs w:val="24"/>
          <w:highlight w:val="yellow"/>
        </w:rPr>
        <w:t>número</w:t>
      </w:r>
      <w:r>
        <w:rPr>
          <w:rFonts w:cs="Arial" w:ascii="Arial" w:hAnsi="Arial"/>
          <w:iCs/>
          <w:sz w:val="24"/>
          <w:szCs w:val="24"/>
        </w:rPr>
        <w:t>]</w:t>
        <w:b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701" w:gutter="0" w:header="426" w:top="1417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ind w:left="142" w:hanging="142"/>
        <w:jc w:val="both"/>
        <w:rPr>
          <w:rFonts w:ascii="Arial" w:hAnsi="Arial" w:cs="Arial"/>
        </w:rPr>
      </w:pPr>
      <w:r>
        <w:rPr>
          <w:rStyle w:val="Caracteresdenotaderodap"/>
        </w:rPr>
        <w:footnoteRef/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</w:rPr>
        <w:t>REESTRUTURAÇÃO DE CARREIRAS. LEI ESTADUAL N° 16.165/2024. REMUNERAÇÃO POR SUBSÍDIO. PARCELA DE IRREDUTIBILIDADE. CEDÊNCIA. GRATIFICAÇÕES NÃO ABARCADAS NO ROL DO INCISO III DO ARTIGO 132.</w:t>
      </w:r>
    </w:p>
    <w:p>
      <w:pPr>
        <w:pStyle w:val="Notaderodap"/>
        <w:ind w:left="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 O pagamento da parcela de irredutibilidade objetiva apenas arredar eventual ofensa à vedação à diminuição da remuneração, quando verificada no momento da implantação do novo sistema remuneratório, não encerrando transmudação de antigas vantagens incompatíveis com o regime do subsídio ou expressamente extintas por ocasião da instituição deste.</w:t>
      </w:r>
    </w:p>
    <w:p>
      <w:pPr>
        <w:pStyle w:val="Notaderodap"/>
        <w:ind w:left="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 Na aferição da parcela de irredutibilidade dos servidores que se encontravam cedidos por ocasião da produção de efeitos da reestruturação de carreiras perfectibilizada pela Lei n° 16.165/2024, deve-se considerar tão-somente as rubricas efetivamente percebidas ou já incorporadas ao patrimônio jurídico do servidor na data da implantação da remuneração por subsídio.</w:t>
      </w:r>
    </w:p>
    <w:p>
      <w:pPr>
        <w:pStyle w:val="Notaderodap"/>
        <w:ind w:left="142" w:hanging="0"/>
        <w:jc w:val="both"/>
        <w:rPr>
          <w:rFonts w:ascii="Arial" w:hAnsi="Arial" w:cs="Arial"/>
        </w:rPr>
      </w:pPr>
      <w:r>
        <w:rPr>
          <w:rFonts w:cs="Arial" w:ascii="Arial" w:hAnsi="Arial"/>
          <w:highlight w:val="lightGray"/>
        </w:rPr>
        <w:t>3. Nos termos do artigo 132, VI, da Lei n° 16.165/2024, o cálculo da parcela de irredutibilidade deve considerar o cotejo entre o valor do subsídio fixado e a remuneração percebida pelo servidor até então, computando-se, para tal fim, as vantagens de natureza temporária, mas desprezado o valor concernente ao exercício de função de confiança ou cargo em comissão.</w:t>
      </w:r>
    </w:p>
    <w:p>
      <w:pPr>
        <w:pStyle w:val="Notaderodap"/>
        <w:ind w:left="142" w:hanging="0"/>
        <w:jc w:val="both"/>
        <w:rPr>
          <w:rFonts w:ascii="Arial" w:hAnsi="Arial" w:cs="Arial"/>
        </w:rPr>
      </w:pPr>
      <w:r>
        <w:rPr>
          <w:rFonts w:cs="Arial" w:ascii="Arial" w:hAnsi="Arial"/>
          <w:highlight w:val="lightGray"/>
        </w:rPr>
        <w:t xml:space="preserve">4. As gratificações disciplinadas pelo artigo 41 da Lei n° 13.417/2010 e pela Lei n° 14.368/2013 não possuem natureza semelhante à das arroladas no inciso III do artigo 132, tampouco foram mencionadas no inciso IV do mesmo dispositivo, </w:t>
      </w:r>
      <w:r>
        <w:rPr>
          <w:rFonts w:cs="Arial" w:ascii="Arial" w:hAnsi="Arial"/>
          <w:highlight w:val="lightGray"/>
          <w:u w:val="single"/>
        </w:rPr>
        <w:t>mas, por força do inciso VI deste, os respectivos valores devem integrar o cálculo da parcela de irredutibilidade enquanto perdurarem as condições que ensejam a sua percepção</w:t>
      </w:r>
      <w:r>
        <w:rPr>
          <w:rFonts w:cs="Arial" w:ascii="Arial" w:hAnsi="Arial"/>
          <w:highlight w:val="lightGray"/>
        </w:rPr>
        <w:t>.</w:t>
      </w:r>
    </w:p>
    <w:p>
      <w:pPr>
        <w:pStyle w:val="Notaderodap"/>
        <w:ind w:left="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5. A ressalva quanto às vantagens vinculadas ao exercício de função de confiança, presente no mesmo inciso VI, alcança apenas as funções gratificadas típicas.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Autospacing="1" w:after="0"/>
      <w:ind w:left="-851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03e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203e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4203e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qFormat/>
    <w:rsid w:val="004203e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nhideWhenUsed/>
    <w:qFormat/>
    <w:rsid w:val="004203eb"/>
    <w:rPr>
      <w:vertAlign w:val="superscript"/>
    </w:rPr>
  </w:style>
  <w:style w:type="character" w:styleId="Appleconvertedspace" w:customStyle="1">
    <w:name w:val="apple-converted-space"/>
    <w:qFormat/>
    <w:rsid w:val="004203eb"/>
    <w:rPr/>
  </w:style>
  <w:style w:type="character" w:styleId="CorpodetextoChar" w:customStyle="1">
    <w:name w:val="Corpo de texto Char"/>
    <w:basedOn w:val="DefaultParagraphFont"/>
    <w:link w:val="Corpodetexto"/>
    <w:qFormat/>
    <w:rsid w:val="004b284b"/>
    <w:rPr>
      <w:rFonts w:ascii="Arial" w:hAnsi="Arial" w:eastAsia="Times New Roman" w:cs="Times New Roman"/>
      <w:b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4b284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qFormat/>
    <w:rsid w:val="00b95c0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350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c1211"/>
    <w:rPr>
      <w:color w:val="605E5C"/>
      <w:shd w:fill="E1DFDD" w:val="clear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nhideWhenUsed/>
    <w:rsid w:val="004b284b"/>
    <w:pPr>
      <w:spacing w:lineRule="auto" w:line="360"/>
      <w:jc w:val="both"/>
    </w:pPr>
    <w:rPr>
      <w:rFonts w:ascii="Arial" w:hAnsi="Arial"/>
      <w:b/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203e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203e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link w:val="TextodenotaderodapChar"/>
    <w:unhideWhenUsed/>
    <w:rsid w:val="004203eb"/>
    <w:pPr/>
    <w:rPr/>
  </w:style>
  <w:style w:type="paragraph" w:styleId="ListParagraph">
    <w:name w:val="List Paragraph"/>
    <w:basedOn w:val="Normal"/>
    <w:uiPriority w:val="34"/>
    <w:qFormat/>
    <w:rsid w:val="004203eb"/>
    <w:pPr>
      <w:ind w:left="708" w:hanging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4b284b"/>
    <w:pPr>
      <w:spacing w:lineRule="auto" w:line="480" w:before="0" w:after="120"/>
    </w:pPr>
    <w:rPr/>
  </w:style>
  <w:style w:type="paragraph" w:styleId="NormalWeb">
    <w:name w:val="Normal (Web)"/>
    <w:basedOn w:val="Normal"/>
    <w:uiPriority w:val="99"/>
    <w:semiHidden/>
    <w:unhideWhenUsed/>
    <w:qFormat/>
    <w:rsid w:val="007e2c1b"/>
    <w:pPr/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203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0f6fc-bb19-44b8-ab18-1d1076289116">
      <Terms xmlns="http://schemas.microsoft.com/office/infopath/2007/PartnerControls"/>
    </lcf76f155ced4ddcb4097134ff3c332f>
    <TaxCatchAll xmlns="89c016e0-97ea-404b-bf0b-3b6a670df3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F79FDD15D24947B118DAB8643AE515" ma:contentTypeVersion="18" ma:contentTypeDescription="Crie um novo documento." ma:contentTypeScope="" ma:versionID="341a198d7fbc027f3504defcfe351fbb">
  <xsd:schema xmlns:xsd="http://www.w3.org/2001/XMLSchema" xmlns:xs="http://www.w3.org/2001/XMLSchema" xmlns:p="http://schemas.microsoft.com/office/2006/metadata/properties" xmlns:ns2="2910f6fc-bb19-44b8-ab18-1d1076289116" xmlns:ns3="89c016e0-97ea-404b-bf0b-3b6a670df3df" targetNamespace="http://schemas.microsoft.com/office/2006/metadata/properties" ma:root="true" ma:fieldsID="60dd6f4c270fd3ab337e025df3d9893b" ns2:_="" ns3:_="">
    <xsd:import namespace="2910f6fc-bb19-44b8-ab18-1d1076289116"/>
    <xsd:import namespace="89c016e0-97ea-404b-bf0b-3b6a670d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f6fc-bb19-44b8-ab18-1d1076289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3728c16-20e2-4e12-af0a-082e499eb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16e0-97ea-404b-bf0b-3b6a670d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90bb02-1a60-42e3-946d-ca29b23c1b1f}" ma:internalName="TaxCatchAll" ma:showField="CatchAllData" ma:web="89c016e0-97ea-404b-bf0b-3b6a670d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F6689-B18B-478B-9A70-C51DA1EDC170}">
  <ds:schemaRefs>
    <ds:schemaRef ds:uri="http://schemas.microsoft.com/office/2006/metadata/properties"/>
    <ds:schemaRef ds:uri="http://schemas.microsoft.com/office/infopath/2007/PartnerControls"/>
    <ds:schemaRef ds:uri="2910f6fc-bb19-44b8-ab18-1d1076289116"/>
    <ds:schemaRef ds:uri="89c016e0-97ea-404b-bf0b-3b6a670df3df"/>
  </ds:schemaRefs>
</ds:datastoreItem>
</file>

<file path=customXml/itemProps2.xml><?xml version="1.0" encoding="utf-8"?>
<ds:datastoreItem xmlns:ds="http://schemas.openxmlformats.org/officeDocument/2006/customXml" ds:itemID="{D11EBF3C-E081-407F-A8B1-281A0F1C4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28D41E-43F5-4C11-9A71-14CD9ADFA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0f6fc-bb19-44b8-ab18-1d1076289116"/>
    <ds:schemaRef ds:uri="89c016e0-97ea-404b-bf0b-3b6a670df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466BD-405F-40DB-A8DE-9E2225EA7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LibreOffice/7.2.5.2$Windows_X86_64 LibreOffice_project/499f9727c189e6ef3471021d6132d4c694f357e5</Application>
  <AppVersion>15.0000</AppVersion>
  <Pages>2</Pages>
  <Words>802</Words>
  <Characters>4517</Characters>
  <CharactersWithSpaces>5302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2025-07-28T22:35:00Z</dcterms:created>
  <dc:creator>Victória Dornelles</dc:creator>
  <dc:description/>
  <dc:language>pt-BR</dc:language>
  <cp:lastModifiedBy>Contato José Japur</cp:lastModifiedBy>
  <cp:lastPrinted>2025-07-23T15:13:00Z</cp:lastPrinted>
  <dcterms:modified xsi:type="dcterms:W3CDTF">2025-07-28T22:35:00Z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0x0101009EF79FDD15D24947B118DAB8643AE515</vt:lpwstr>
  </property>
</Properties>
</file>